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827CAB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765256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76525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1F1DD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1F1DD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268"/>
      </w:tblGrid>
      <w:tr w:rsidR="00A75662" w:rsidRPr="007673FA" w:rsidTr="00101990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40EFE" w:rsidRDefault="00827CAB" w:rsidP="00101990">
            <w:pPr>
              <w:spacing w:after="120"/>
              <w:ind w:left="-105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Masaryk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1990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40EFE" w:rsidRDefault="00827CAB" w:rsidP="00101990">
            <w:pPr>
              <w:shd w:val="clear" w:color="auto" w:fill="FFFFFF"/>
              <w:ind w:left="-105"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CZ BRNO05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1990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D3087F" w:rsidRDefault="00827CAB" w:rsidP="00101990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827CAB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Komenského </w:t>
            </w: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nám. 2 (second floor), 602 00, </w:t>
            </w:r>
            <w:r w:rsidRPr="00827CAB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Brno 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827CAB" w:rsidP="00635E4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en-GB"/>
              </w:rPr>
              <w:t>Czech Republic</w:t>
            </w:r>
            <w:r w:rsidR="00101990">
              <w:rPr>
                <w:rFonts w:ascii="Verdana" w:hAnsi="Verdana" w:cs="Arial"/>
                <w:b/>
                <w:sz w:val="20"/>
                <w:lang w:val="en-GB"/>
              </w:rPr>
              <w:t>/PL</w:t>
            </w:r>
          </w:p>
        </w:tc>
      </w:tr>
      <w:tr w:rsidR="007967A9" w:rsidRPr="00101990" w:rsidTr="00101990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827CAB" w:rsidRDefault="00827CAB" w:rsidP="00827CA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827CAB">
              <w:rPr>
                <w:b/>
                <w:sz w:val="18"/>
                <w:szCs w:val="18"/>
              </w:rPr>
              <w:t>Violeta Osouchová</w:t>
            </w:r>
            <w:r w:rsidR="007437F3" w:rsidRPr="00101990">
              <w:rPr>
                <w:b/>
                <w:sz w:val="18"/>
                <w:szCs w:val="18"/>
                <w:lang w:val="de-DE"/>
              </w:rPr>
              <w:t>,</w:t>
            </w:r>
          </w:p>
          <w:p w:rsidR="007437F3" w:rsidRPr="00B40EFE" w:rsidRDefault="007437F3" w:rsidP="00101990">
            <w:pPr>
              <w:pStyle w:val="affe"/>
              <w:ind w:left="-105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:rsidR="00827CAB" w:rsidRDefault="00827CAB" w:rsidP="00827CA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827CAB">
              <w:rPr>
                <w:b/>
                <w:sz w:val="18"/>
                <w:szCs w:val="18"/>
              </w:rPr>
              <w:t>osouchova@czs.</w:t>
            </w:r>
          </w:p>
          <w:p w:rsidR="00827CAB" w:rsidRDefault="00827CAB" w:rsidP="00827CA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827CAB">
              <w:rPr>
                <w:b/>
                <w:sz w:val="18"/>
                <w:szCs w:val="18"/>
              </w:rPr>
              <w:t>muni.cz</w:t>
            </w:r>
          </w:p>
          <w:p w:rsidR="007967A9" w:rsidRPr="00101990" w:rsidRDefault="00827CAB" w:rsidP="00827CA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827CAB">
              <w:rPr>
                <w:b/>
                <w:sz w:val="18"/>
                <w:szCs w:val="18"/>
              </w:rPr>
              <w:t>+420 549 49 5878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6F" w:rsidRDefault="0002226F">
      <w:r>
        <w:separator/>
      </w:r>
    </w:p>
  </w:endnote>
  <w:endnote w:type="continuationSeparator" w:id="1">
    <w:p w:rsidR="0002226F" w:rsidRDefault="0002226F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F1DD2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827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6F" w:rsidRDefault="0002226F">
      <w:r>
        <w:separator/>
      </w:r>
    </w:p>
  </w:footnote>
  <w:footnote w:type="continuationSeparator" w:id="1">
    <w:p w:rsidR="0002226F" w:rsidRDefault="0002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F1D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F1DD2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26F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3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4F8"/>
    <w:rsid w:val="000F00CF"/>
    <w:rsid w:val="000F1813"/>
    <w:rsid w:val="000F1E63"/>
    <w:rsid w:val="000F48F1"/>
    <w:rsid w:val="000F543E"/>
    <w:rsid w:val="000F614A"/>
    <w:rsid w:val="00101990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DD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FF4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E47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25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CAB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A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BBC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EFE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C6E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D1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2B6A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3F5CC18-CE37-4E3E-A1A4-1D11F9B20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502</Words>
  <Characters>2866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3</cp:revision>
  <cp:lastPrinted>2013-11-06T08:46:00Z</cp:lastPrinted>
  <dcterms:created xsi:type="dcterms:W3CDTF">2015-11-26T15:28:00Z</dcterms:created>
  <dcterms:modified xsi:type="dcterms:W3CDTF">2015-12-24T15:25:00Z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